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DE" w:rsidRPr="001E5BC3" w:rsidRDefault="00FA0CDE" w:rsidP="001E5BC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1E5BC3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«Концерн Термаль»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физических лиц с максимальной мощностью до 15 кВт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1E5BC3" w:rsidRDefault="00FA0CDE" w:rsidP="001E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(далее - заявитель)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</w:t>
      </w:r>
      <w:r w:rsidR="001E5BC3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присоединения  впервые вводимых в эксплуатацию, ранее присоединенных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 или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</w:t>
      </w:r>
      <w:proofErr w:type="gram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5BC3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300 метров</w:t>
      </w:r>
      <w:proofErr w:type="gramStart"/>
      <w:r w:rsidR="001E5B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A0CDE" w:rsidRPr="001E5BC3" w:rsidRDefault="00FA0CDE" w:rsidP="001E5B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1E5BC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договора;</w:t>
      </w:r>
    </w:p>
    <w:p w:rsidR="00FA0CDE" w:rsidRPr="001E5BC3" w:rsidRDefault="00FA0CDE" w:rsidP="001E5B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6 месяцев </w:t>
      </w:r>
      <w:proofErr w:type="gramStart"/>
      <w:r w:rsidRPr="001E5BC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договора. </w:t>
      </w: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всех вышеуказанных условий - 1 год </w:t>
      </w:r>
      <w:proofErr w:type="gramStart"/>
      <w:r w:rsidRPr="001E5BC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20301" w:rsidRPr="001E5BC3" w:rsidRDefault="00C20301" w:rsidP="001E5B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1E5BC3" w:rsidRDefault="00FA0CDE" w:rsidP="001E5B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FA0CDE" w:rsidRPr="001E5BC3" w:rsidTr="001E5BC3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FA0CDE" w:rsidRPr="001E5BC3" w:rsidTr="001E5BC3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C764DA" w:rsidRPr="001E5BC3" w:rsidRDefault="00FA0CDE" w:rsidP="00C764D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  <w:r w:rsidR="00C7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 8-10, 14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0CDE" w:rsidRPr="001E5BC3" w:rsidTr="001E5BC3">
        <w:trPr>
          <w:trHeight w:val="86"/>
        </w:trPr>
        <w:tc>
          <w:tcPr>
            <w:tcW w:w="167" w:type="pct"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дней со дня  получения заявки; 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отсутствия сведений  (документов) </w:t>
            </w:r>
            <w:r w:rsidR="00EB5075"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D5581A"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</w:t>
            </w:r>
            <w:proofErr w:type="gram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письменной или электронной форме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15(1)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16(4), 17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16.1, 18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85, 86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сетевой организацией от заявителя уведомления о выполнении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условий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4.1.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A735DF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FA0CDE" w:rsidRPr="001E5B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A0CDE"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невыполнении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8</w:t>
            </w:r>
            <w:r w:rsidR="00CA2CCC"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A2CCC"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A735DF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FA0CDE" w:rsidRPr="001E5B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A0CDE"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89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A735DF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A0CDE" w:rsidRPr="001E5B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A0CDE"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1E5BC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88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4.4.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88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695"/>
        </w:trPr>
        <w:tc>
          <w:tcPr>
            <w:tcW w:w="167" w:type="pct"/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7, 18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A0CDE" w:rsidRPr="001E5BC3" w:rsidTr="001E5BC3">
        <w:trPr>
          <w:trHeight w:val="170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0301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Акта об осуществлении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технологического присоединения;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Акта разграничения границ балансовой принадлежности сторон;</w:t>
            </w:r>
          </w:p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19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</w:tr>
      <w:tr w:rsidR="00FA0CDE" w:rsidRPr="001E5BC3" w:rsidTr="001E5BC3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  <w:shd w:val="clear" w:color="auto" w:fill="auto"/>
          </w:tcPr>
          <w:p w:rsidR="00FA0CDE" w:rsidRPr="001E5BC3" w:rsidRDefault="00FA0CDE" w:rsidP="001E5BC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19 (1) Правил технологического присоединения </w:t>
            </w:r>
            <w:proofErr w:type="spellStart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E5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</w:tbl>
    <w:p w:rsidR="00FA0CDE" w:rsidRPr="001E5BC3" w:rsidRDefault="00FA0CDE" w:rsidP="001E5B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DE" w:rsidRPr="001E5BC3" w:rsidRDefault="00FA0CDE" w:rsidP="001E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5AC" w:rsidRPr="001E5BC3" w:rsidRDefault="006D75AC" w:rsidP="001E5BC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C3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1E5BC3">
        <w:t xml:space="preserve"> </w:t>
      </w:r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телефонный номер </w:t>
      </w:r>
      <w:proofErr w:type="spellStart"/>
      <w:proofErr w:type="gramStart"/>
      <w:r w:rsidRPr="001E5BC3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1E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C3" w:rsidRPr="00E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«Концерн Термаль</w:t>
      </w:r>
      <w:r w:rsidR="001E5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1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BC3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1E5BC3">
        <w:rPr>
          <w:rFonts w:ascii="Times New Roman" w:eastAsia="Times New Roman" w:hAnsi="Times New Roman" w:cs="Times New Roman"/>
          <w:b/>
          <w:sz w:val="24"/>
          <w:szCs w:val="24"/>
        </w:rPr>
        <w:t>831-4693994</w:t>
      </w:r>
    </w:p>
    <w:p w:rsidR="00FA0CDE" w:rsidRPr="00EA350E" w:rsidRDefault="006D21BC" w:rsidP="001E5BC3">
      <w:pPr>
        <w:rPr>
          <w:rFonts w:ascii="Calibri" w:eastAsia="Times New Roman" w:hAnsi="Calibri" w:cs="Times New Roman"/>
        </w:rPr>
      </w:pPr>
      <w:r w:rsidRPr="001E5BC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1E5BC3">
        <w:rPr>
          <w:rFonts w:ascii="Calibri" w:eastAsia="Times New Roman" w:hAnsi="Calibri" w:cs="Times New Roman"/>
        </w:rPr>
        <w:t xml:space="preserve"> </w:t>
      </w:r>
      <w:r w:rsidR="00EA350E" w:rsidRPr="00EA350E">
        <w:rPr>
          <w:rFonts w:ascii="Calibri" w:eastAsia="Times New Roman" w:hAnsi="Calibri" w:cs="Times New Roman"/>
        </w:rPr>
        <w:t xml:space="preserve"> </w:t>
      </w:r>
      <w:hyperlink r:id="rId10" w:history="1">
        <w:r w:rsidR="00EA350E" w:rsidRPr="00C748B5">
          <w:rPr>
            <w:rStyle w:val="a6"/>
            <w:rFonts w:ascii="Calibri" w:eastAsia="Times New Roman" w:hAnsi="Calibri" w:cs="Times New Roman"/>
            <w:lang w:val="en-US"/>
          </w:rPr>
          <w:t>termalenergy</w:t>
        </w:r>
        <w:r w:rsidR="00EA350E" w:rsidRPr="00EA350E">
          <w:rPr>
            <w:rStyle w:val="a6"/>
            <w:rFonts w:ascii="Calibri" w:eastAsia="Times New Roman" w:hAnsi="Calibri" w:cs="Times New Roman"/>
          </w:rPr>
          <w:t>@</w:t>
        </w:r>
        <w:r w:rsidR="00EA350E" w:rsidRPr="00C748B5">
          <w:rPr>
            <w:rStyle w:val="a6"/>
            <w:rFonts w:ascii="Calibri" w:eastAsia="Times New Roman" w:hAnsi="Calibri" w:cs="Times New Roman"/>
            <w:lang w:val="en-US"/>
          </w:rPr>
          <w:t>rambler</w:t>
        </w:r>
        <w:r w:rsidR="00EA350E" w:rsidRPr="00EA350E">
          <w:rPr>
            <w:rStyle w:val="a6"/>
            <w:rFonts w:ascii="Calibri" w:eastAsia="Times New Roman" w:hAnsi="Calibri" w:cs="Times New Roman"/>
          </w:rPr>
          <w:t>.</w:t>
        </w:r>
        <w:proofErr w:type="spellStart"/>
        <w:r w:rsidR="00EA350E" w:rsidRPr="00C748B5">
          <w:rPr>
            <w:rStyle w:val="a6"/>
            <w:rFonts w:ascii="Calibri" w:eastAsia="Times New Roman" w:hAnsi="Calibri" w:cs="Times New Roman"/>
            <w:lang w:val="en-US"/>
          </w:rPr>
          <w:t>ru</w:t>
        </w:r>
        <w:proofErr w:type="spellEnd"/>
      </w:hyperlink>
    </w:p>
    <w:p w:rsidR="00EA350E" w:rsidRPr="00EA350E" w:rsidRDefault="00EA350E" w:rsidP="001E5BC3">
      <w:pPr>
        <w:rPr>
          <w:rFonts w:ascii="Calibri" w:eastAsia="Times New Roman" w:hAnsi="Calibri" w:cs="Times New Roman"/>
          <w:szCs w:val="24"/>
        </w:rPr>
      </w:pPr>
    </w:p>
    <w:p w:rsidR="00FA0CDE" w:rsidRPr="001E5BC3" w:rsidRDefault="00FA0CDE" w:rsidP="001E5BC3"/>
    <w:sectPr w:rsidR="00FA0CDE" w:rsidRPr="001E5BC3" w:rsidSect="004962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5A" w:rsidRDefault="001F205A" w:rsidP="00FA0CDE">
      <w:pPr>
        <w:spacing w:after="0" w:line="240" w:lineRule="auto"/>
      </w:pPr>
      <w:r>
        <w:separator/>
      </w:r>
    </w:p>
  </w:endnote>
  <w:endnote w:type="continuationSeparator" w:id="0">
    <w:p w:rsidR="001F205A" w:rsidRDefault="001F205A" w:rsidP="00F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5A" w:rsidRDefault="001F205A" w:rsidP="00FA0CDE">
      <w:pPr>
        <w:spacing w:after="0" w:line="240" w:lineRule="auto"/>
      </w:pPr>
      <w:r>
        <w:separator/>
      </w:r>
    </w:p>
  </w:footnote>
  <w:footnote w:type="continuationSeparator" w:id="0">
    <w:p w:rsidR="001F205A" w:rsidRDefault="001F205A" w:rsidP="00FA0CDE">
      <w:pPr>
        <w:spacing w:after="0" w:line="240" w:lineRule="auto"/>
      </w:pPr>
      <w:r>
        <w:continuationSeparator/>
      </w:r>
    </w:p>
  </w:footnote>
  <w:footnote w:id="1">
    <w:p w:rsidR="00FA0CDE" w:rsidRDefault="00FA0CDE" w:rsidP="00FA0CDE">
      <w:pPr>
        <w:pStyle w:val="a3"/>
      </w:pPr>
      <w:r>
        <w:rPr>
          <w:rStyle w:val="a5"/>
        </w:rPr>
        <w:footnoteRef/>
      </w:r>
      <w:r>
        <w:t xml:space="preserve"> </w:t>
      </w:r>
      <w:r w:rsidRPr="00F728EC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F728EC">
        <w:rPr>
          <w:rFonts w:ascii="Times New Roman" w:hAnsi="Times New Roman"/>
        </w:rPr>
        <w:t>энергопринимающих</w:t>
      </w:r>
      <w:proofErr w:type="spellEnd"/>
      <w:r w:rsidRPr="00F728EC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728EC">
        <w:rPr>
          <w:rFonts w:ascii="Times New Roman" w:hAnsi="Times New Roman"/>
        </w:rPr>
        <w:t>электросетевого</w:t>
      </w:r>
      <w:proofErr w:type="spellEnd"/>
      <w:r w:rsidRPr="00F728EC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FA0CDE" w:rsidRDefault="00FA0CDE" w:rsidP="00FA0CD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FF702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F702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DE"/>
    <w:rsid w:val="000022ED"/>
    <w:rsid w:val="000D77CF"/>
    <w:rsid w:val="000F5093"/>
    <w:rsid w:val="00187292"/>
    <w:rsid w:val="001E5BC3"/>
    <w:rsid w:val="001F205A"/>
    <w:rsid w:val="002877FB"/>
    <w:rsid w:val="002A7857"/>
    <w:rsid w:val="002D6E4F"/>
    <w:rsid w:val="002E2AA0"/>
    <w:rsid w:val="002F475E"/>
    <w:rsid w:val="00344CBC"/>
    <w:rsid w:val="003D0103"/>
    <w:rsid w:val="004962EF"/>
    <w:rsid w:val="004A2C0D"/>
    <w:rsid w:val="00544EC5"/>
    <w:rsid w:val="005976F6"/>
    <w:rsid w:val="005B5A78"/>
    <w:rsid w:val="006B1664"/>
    <w:rsid w:val="006D21BC"/>
    <w:rsid w:val="006D75AC"/>
    <w:rsid w:val="00732C5D"/>
    <w:rsid w:val="0073393A"/>
    <w:rsid w:val="007B278D"/>
    <w:rsid w:val="008064A6"/>
    <w:rsid w:val="0090674A"/>
    <w:rsid w:val="00A54138"/>
    <w:rsid w:val="00A61A78"/>
    <w:rsid w:val="00A735DF"/>
    <w:rsid w:val="00AB1F62"/>
    <w:rsid w:val="00AB30AE"/>
    <w:rsid w:val="00BC33AA"/>
    <w:rsid w:val="00C20301"/>
    <w:rsid w:val="00C764DA"/>
    <w:rsid w:val="00CA2CCC"/>
    <w:rsid w:val="00D5581A"/>
    <w:rsid w:val="00D81117"/>
    <w:rsid w:val="00DA0B75"/>
    <w:rsid w:val="00DE11A8"/>
    <w:rsid w:val="00DE45AD"/>
    <w:rsid w:val="00E1135C"/>
    <w:rsid w:val="00E2766C"/>
    <w:rsid w:val="00EA350E"/>
    <w:rsid w:val="00EB393E"/>
    <w:rsid w:val="00EB5075"/>
    <w:rsid w:val="00FA0CDE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CDE"/>
    <w:rPr>
      <w:sz w:val="20"/>
      <w:szCs w:val="20"/>
    </w:rPr>
  </w:style>
  <w:style w:type="character" w:styleId="a5">
    <w:name w:val="footnote reference"/>
    <w:basedOn w:val="a0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CDE"/>
    <w:rPr>
      <w:sz w:val="20"/>
      <w:szCs w:val="20"/>
    </w:rPr>
  </w:style>
  <w:style w:type="character" w:styleId="a5">
    <w:name w:val="footnote reference"/>
    <w:basedOn w:val="a0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rmalenergy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User</cp:lastModifiedBy>
  <cp:revision>8</cp:revision>
  <cp:lastPrinted>2016-11-30T07:33:00Z</cp:lastPrinted>
  <dcterms:created xsi:type="dcterms:W3CDTF">2017-06-20T07:01:00Z</dcterms:created>
  <dcterms:modified xsi:type="dcterms:W3CDTF">2017-06-21T05:37:00Z</dcterms:modified>
</cp:coreProperties>
</file>